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EE711" w14:textId="72CE8176" w:rsidR="00BE031D" w:rsidRPr="004A15CF" w:rsidRDefault="00BE031D" w:rsidP="004A15CF">
      <w:pPr>
        <w:spacing w:after="100" w:afterAutospacing="1" w:line="360" w:lineRule="auto"/>
        <w:ind w:firstLine="567"/>
        <w:rPr>
          <w:rFonts w:ascii="Times New Roman" w:hAnsi="Times New Roman" w:cs="Times New Roman"/>
          <w:b/>
          <w:sz w:val="28"/>
          <w:szCs w:val="28"/>
        </w:rPr>
      </w:pPr>
      <w:r w:rsidRPr="004A15CF">
        <w:rPr>
          <w:rFonts w:ascii="Times New Roman" w:hAnsi="Times New Roman" w:cs="Times New Roman"/>
          <w:b/>
          <w:sz w:val="28"/>
          <w:szCs w:val="28"/>
        </w:rPr>
        <w:t>Tham luận 2: Hành vi bị cấm trong đấu thầu và Thực trạng một số tồn tại, hạn chế trong công tác đấu thầu ở Việt Nam hiện nay.</w:t>
      </w:r>
      <w:bookmarkStart w:id="0" w:name="_GoBack"/>
      <w:bookmarkEnd w:id="0"/>
    </w:p>
    <w:p w14:paraId="77497344" w14:textId="62A204DA" w:rsidR="00C55D47" w:rsidRPr="004A15CF" w:rsidRDefault="00C55D47"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A.Để nâng cao chất lượng, tính công bằng, minh bạch trong đấu thầu, nhà nước đã ban hành Luật đấu thầu 2013, trong đó có Điều 89: Các hành vi bị cấm trong đấu thầu.</w:t>
      </w:r>
    </w:p>
    <w:p w14:paraId="26D6D304" w14:textId="21713169"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Điều 89. Các hành vi bị cấm trong đấu thầu</w:t>
      </w:r>
    </w:p>
    <w:p w14:paraId="4CEB2B27" w14:textId="70ED605E"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1. Đưa, nhận, môi giới hối lộ.</w:t>
      </w:r>
    </w:p>
    <w:p w14:paraId="4F628E80" w14:textId="7FDAF607"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2. Lợi dụng chức vụ quyền hạn để can thiệp bất hợp pháp vào hoạt động đấu thầu</w:t>
      </w:r>
    </w:p>
    <w:p w14:paraId="436B9B84" w14:textId="0E1D6461"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3. Thông thầu, bao gồm các hành vi sau đây:</w:t>
      </w:r>
    </w:p>
    <w:p w14:paraId="51A9C682" w14:textId="18A09E34"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a) Thỏa thuận về việc rút khỏi việc dự thầu hoặc rút đơn dự thầu được nộp trước đó để một hoặc các bên tham gia thỏa thuận thắng thầu;</w:t>
      </w:r>
    </w:p>
    <w:p w14:paraId="70E9C03A" w14:textId="64E1F6DF"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b) Thỏa thuận để một hoặc nhiều bên chuẩn bị hồ sơ dự thầu cho các bên tham dự thầu để một bên thắng thầu;</w:t>
      </w:r>
    </w:p>
    <w:p w14:paraId="215600E8" w14:textId="4BC8BBE0"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c) Thỏa thuận về việc từ chối cung cấp hàng hóa, không ký hợp đồng thầu phụ hoặc các hình thức gây khó khăn khác cho các bên không tham gia thỏa thuận.</w:t>
      </w:r>
    </w:p>
    <w:p w14:paraId="357D9246" w14:textId="6EDC6BAB"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4. Gian lận, bao gồm các hành vi sau đây:</w:t>
      </w:r>
    </w:p>
    <w:p w14:paraId="636C7903" w14:textId="191B8386"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a) Trình bày sai một cách cố ý hoặc làm sai lệch thông tin, hồ sơ, tài liệu của một bên trong đấu thầu nhằm thu được lợi ích tài chính hoặc lợi ích khác hoặc nhằm trốn tránh bất kỳ một nghĩa vụ nào;</w:t>
      </w:r>
    </w:p>
    <w:p w14:paraId="565CA728" w14:textId="4F915DA8"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lastRenderedPageBreak/>
        <w:t>b) Cá nhân trực tiếp đánh giá hồ sơ quan tâm, hồ sơ dự sơ tuyển, hồ sơ dự thầu, hồ sơ đề xuất, thẩm định kết quả lựa chọn danh sách ngắn, kết quả lựa chọn nhà thầu, nhà đầu tư cố ý báo cáo sai hoặc cung cấp thông tin không trung thực làm sai lệch kết quả lựa chọn nhà thầu, nhà đầu tư;</w:t>
      </w:r>
    </w:p>
    <w:p w14:paraId="2129CF70" w14:textId="4DE2225A"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c) Nhà thầu, nhà đầu tư cố ý cung cấp các thông tin không trung thực trong hồ sơ quan tâm, hồ sơ dự sơ tuyển, hồ sơ dự thầu, hồ sơ đề xuất làm sai lệch kết quả lựa chọn nhà thầu, nhà đầu tư.</w:t>
      </w:r>
    </w:p>
    <w:p w14:paraId="695D1A55" w14:textId="1C23B6D5"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5. Cản trở, bao gồm các hành vi sau đây:</w:t>
      </w:r>
    </w:p>
    <w:p w14:paraId="2197F7B5" w14:textId="7C7D50D7"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a) Hủy hoại, lừa dối, thay đổi, che giấu chứng cứ hoặc báo cáo sai sự thật; đe dọa, quấy rối hoặc gợi ý đối với bất kỳ bên nào nhằm ngăn chặn việc làm rõ hành vi đưa, nhận, môi giới hối lộ, gian lận hoặc thông đồng đối với cơ quan có chức năng, thẩm quyền về giám sát, kiểm tra, thanh tra, kiểm toán;</w:t>
      </w:r>
    </w:p>
    <w:p w14:paraId="25DBE5A4" w14:textId="00058240" w:rsidR="0045250E"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b) Các hành vi cản trở đối với nhà thầu, nhà đầu tư, cơ quan có thẩm quyền về giám sát, kiểm tra, thanh tra, kiểm toán.</w:t>
      </w:r>
    </w:p>
    <w:p w14:paraId="5DABC34E" w14:textId="1FD75814"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6. Không bảo đảm công bằng, minh bạch, bao gồm các hành vi sau đây:</w:t>
      </w:r>
    </w:p>
    <w:p w14:paraId="70DF3AE9" w14:textId="235AA98B"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a) Tham dự thầu với tư cách là nhà thầu, nhà đầu tư đối với gói thầu, dự án do mình làm bên mời thầu, chủ đầu tư hoặc thực hiện các nhiệm vụ của bên mời thầu, chủ đầu tư;</w:t>
      </w:r>
    </w:p>
    <w:p w14:paraId="384566F8" w14:textId="68270EC3"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b) Tham gia lập, đồng thời tham gia thẩm định hồ sơ mời quan tâm, hồ sơ mời sơ tuyển, hồ sơ mời thầu, hồ sơ yêu cầu đối với cùng một gói thầu, dự án;</w:t>
      </w:r>
    </w:p>
    <w:p w14:paraId="69C77B77" w14:textId="3D6E43CE"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c) Tham gia đánh giá hồ sơ dự thầu, hồ sơ đề xuất đồng thời tham gia thẩm định kết quả lựa chọn nhà thầu, nhà đầu tư đối với cùng một gói thầu, dự án;</w:t>
      </w:r>
    </w:p>
    <w:p w14:paraId="1E8EC854" w14:textId="4A2BFE11"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lastRenderedPageBreak/>
        <w:t>d) Là cá nhân thuộc bên mời thầu, chủ đầu tư nhưng trực tiếp tham gia quá trình lựa chọn nhà thầu, nhà đầu tư hoặc tham gia tổ chuyên gia, tổ thẩm định kết quả lựa chọn nhà thầu, nhà đầu tư hoặc là người đứng đầu cơ quan nhà nước có thẩm quyền, chủ đầu tư, bên mời thầu đối với các gói thầu, dự án do cha mẹ đẻ, cha mẹ vợ hoặc cha mẹ chồng, vợ hoặc chồng, con đẻ, con nuôi, con dâu, con rể, anh chị em một đứng tên dự thầu hoặc là người đại diện theo pháp luật của nhà thầu, nhà đầu tư tham dự thầu;</w:t>
      </w:r>
    </w:p>
    <w:p w14:paraId="58D53713" w14:textId="14BEAFEA"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đ) Nhà thầu tham dự thầu gói thầu mua sắm hàng hóa, xây lắp do mình cung cấp dịch vụ tư vấn trước đó;</w:t>
      </w:r>
    </w:p>
    <w:p w14:paraId="79A4BD27" w14:textId="726F6066"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e) Đứng tên tham dự thầu gói thầu thuộc dự án do chủ đầu tư, bên mời thầu là cơ quan, tổ chức nơi mình đã công tác trong thời hạn 12 tháng, kể từ khi thôi việc tại cơ quan, tổ chức đó;</w:t>
      </w:r>
    </w:p>
    <w:p w14:paraId="0262F907" w14:textId="77777777"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g) Nhà thầu tư vấn giám sát đồng thời thực hiện tư vấn kiểm định đối với gói thầu do mình giám sát;</w:t>
      </w:r>
    </w:p>
    <w:p w14:paraId="7AD52CA5" w14:textId="5716024C"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h) Áp dụng hình thức lựa chọn nhà thầu, nhà đầu tư không phải là hình thức đấu thầu rộng rãi khi không đủ điều kiện theo quy định của Luật này;</w:t>
      </w:r>
    </w:p>
    <w:p w14:paraId="01C51252" w14:textId="6333BBA1"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i) Nêu yêu cầu cụ thể về nhãn hiệu, xuất xứ hàng hóa trong hồ sơ mời thầu đối với gói thầu mua sắm hàng hóa, xây lắp hoặc gói thầu hỗn hợp khi áp dụng hình thức đấu thầu rộng rãi, đấu thầu hạn chế;</w:t>
      </w:r>
    </w:p>
    <w:p w14:paraId="577A1EE3" w14:textId="108193F9"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k) Chia dự án, dự toán mua sắm thành các gói thầu trái với quy định của Luật này nhằm mục đích chỉ định thầu hoặc hạn chế sự tham gia của các nhà thầu.</w:t>
      </w:r>
    </w:p>
    <w:p w14:paraId="27FB42F1" w14:textId="56166C81"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 xml:space="preserve">7. Tiết lộ, tiếp nhận những tài liệu, thông tin sau đây về quá trình lựa chọn nhà thầu, nhà đầu tư, trừ trường hợp quy định tại điểm b khoản 7 và điểm e khoản </w:t>
      </w:r>
      <w:r w:rsidRPr="004A15CF">
        <w:rPr>
          <w:rFonts w:ascii="Times New Roman" w:hAnsi="Times New Roman" w:cs="Times New Roman"/>
          <w:sz w:val="28"/>
          <w:szCs w:val="28"/>
        </w:rPr>
        <w:lastRenderedPageBreak/>
        <w:t>8 Điều 73, khoản 12 Điều 74, điểm i khoản 1 Điều 75, khoản 7 Điều 76, khoản 7 Điều 78, điểm d khoản 2 và điểm d khoản 4 Điều 92 của Luật này:</w:t>
      </w:r>
    </w:p>
    <w:p w14:paraId="6103C3D9" w14:textId="354D81C8"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a) Nội dung hồ sơ mời quan tâm, hồ sơ mời sơ tuyển, hồ sơ mời thầu, hồ sơ yêu cầu trước thời điểm phát hành theo quy định;</w:t>
      </w:r>
    </w:p>
    <w:p w14:paraId="29D3B2E1" w14:textId="7978A53A"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b) Nội dung hồ sơ quan tâm, hồ sơ dự sơ tuyển, hồ sơ dự thầu, hồ sơ đề xuất, sổ tay ghi chép, biên bản cuộc họp xét thầu, các ý kiến nhận xét, đánh giá đối với từng hồ sơ quan tâm, hồ sơ dự sơ tuyển, hồ sơ dự thầu, hồ sơ đề xuất trước khi công khai danh sách ngắn, kết quả lựa chọn nhà thầu, nhà đầu tư;</w:t>
      </w:r>
    </w:p>
    <w:p w14:paraId="4F8E63FA" w14:textId="24679E87"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c) Nội dung yêu cầu làm rõ hồ sơ dự thầu, hồ sơ đề xuất của bên mời thầu và trả lời của nhà thầu, nhà đầu tư trong quá trình đánh giá hồ sơ dự thầu, hồ sơ đề xuất trước khi công khai kết quả lựa chọn nhà thầu, nhà đầu tư;</w:t>
      </w:r>
    </w:p>
    <w:p w14:paraId="69D6518B" w14:textId="36396FA5"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d) Báo cáo của bên mời thầu, báo cáo của tổ chuyên gia, báo cáo thẩm định, báo cáo của nhà thầu tư vấn, báo cáo của cơ quan chuyên môn có liên quan trong quá trình lựa chọn nhà thầu, nhà đầu tư trước khi công khai kết quả lựa chọn nhà thầu, nhà đầu tư;</w:t>
      </w:r>
    </w:p>
    <w:p w14:paraId="3BE599C1" w14:textId="547CD52C"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đ) Kết quả lựa chọn nhà thầu, nhà đầu tư trước khi được công khai theo quy định;</w:t>
      </w:r>
    </w:p>
    <w:p w14:paraId="42817C44" w14:textId="7C891125"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e) Các tài liệu khác trong quá trình lựa chọn nhà thầu, nhà đầu tư được đóng dấu mật theo quy định của pháp luật.</w:t>
      </w:r>
    </w:p>
    <w:p w14:paraId="34FE19C8" w14:textId="3EDC339A"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8. Chuyển nhượng thầu, bao gồm các hành vi sau đây:</w:t>
      </w:r>
    </w:p>
    <w:p w14:paraId="132FCACD" w14:textId="77777777"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lastRenderedPageBreak/>
        <w:t>a) Nhà thầu chuyển nhượng cho nhà thầu khác phần công việc thuộc gói thầu có giá trị từ 10% trở lên hoặc dưới 10% nhưng trên 50 tỷ đồng (sau khi trừ phần công việc thuộc trách nhiệm của nhà thầu phụ) tính trên giá hợp đồng đã ký kết;</w:t>
      </w:r>
    </w:p>
    <w:p w14:paraId="09977576" w14:textId="77777777"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b) Chủ đầu tư, tư vấn giám sát chấp thuận để nhà thầu chuyển nhượng công việc thuộc trách nhiệm thực hiện của nhà thầu, trừ phần công việc thuộc trách nhiệm của nhà thầu phụ đã kê khai trong hợp đồng.</w:t>
      </w:r>
    </w:p>
    <w:p w14:paraId="20EAD8A7" w14:textId="7CA11940" w:rsidR="00BE031D" w:rsidRPr="004A15CF" w:rsidRDefault="00BE031D"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9. Tổ chức lựa chọn nhà thầu khi nguồn vốn cho gói thầu chưa được xác định dẫn tới tình trạng nợ đọng vốn của nhà thầu.</w:t>
      </w:r>
    </w:p>
    <w:p w14:paraId="0841C650" w14:textId="77777777" w:rsidR="00C55D47" w:rsidRPr="004A15CF" w:rsidRDefault="00C55D47" w:rsidP="004A15CF">
      <w:pPr>
        <w:spacing w:after="100" w:afterAutospacing="1" w:line="360" w:lineRule="auto"/>
        <w:ind w:firstLine="567"/>
        <w:rPr>
          <w:rFonts w:ascii="Times New Roman" w:hAnsi="Times New Roman" w:cs="Times New Roman"/>
          <w:sz w:val="28"/>
          <w:szCs w:val="28"/>
        </w:rPr>
      </w:pPr>
    </w:p>
    <w:p w14:paraId="47A1372E" w14:textId="19EF3144" w:rsidR="00C55D47" w:rsidRPr="004A15CF" w:rsidRDefault="00C55D47"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Tại Điều 90 </w:t>
      </w:r>
      <w:hyperlink r:id="rId5" w:tgtFrame="_blank" w:history="1">
        <w:r w:rsidRPr="004A15CF">
          <w:rPr>
            <w:rStyle w:val="Hyperlink"/>
            <w:rFonts w:ascii="Times New Roman" w:hAnsi="Times New Roman" w:cs="Times New Roman"/>
            <w:sz w:val="28"/>
            <w:szCs w:val="28"/>
          </w:rPr>
          <w:t>Luật Đấu thầu 2013</w:t>
        </w:r>
      </w:hyperlink>
      <w:r w:rsidRPr="004A15CF">
        <w:rPr>
          <w:rFonts w:ascii="Times New Roman" w:hAnsi="Times New Roman" w:cs="Times New Roman"/>
          <w:sz w:val="28"/>
          <w:szCs w:val="28"/>
        </w:rPr>
        <w:t> quy định về xử lý vi phạm trong đấu thầu như sau:</w:t>
      </w:r>
    </w:p>
    <w:p w14:paraId="0ECEB608" w14:textId="77777777" w:rsidR="00C55D47" w:rsidRPr="004A15CF" w:rsidRDefault="00C55D47"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 Tổ chức, cá nhân vi phạm pháp luật về đấu thầu và quy định khác của pháp luật có liên quan thì tùy theo tính chất, mức độ vi phạm mà bị xử lý kỷ luật, xử phạt vi phạm hành chính hoặc bị truy cứu trách nhiệm hình sự;</w:t>
      </w:r>
    </w:p>
    <w:p w14:paraId="2B2A1970" w14:textId="77777777" w:rsidR="00C55D47" w:rsidRPr="004A15CF" w:rsidRDefault="00C55D47"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Trường hợp hành vi vi phạm pháp luật về đấu thầu gây thiệt hại đến lợi ích của Nhà nước, quyền và lợi ích hợp pháp của tổ chức, cá nhân thì phải bồi thường thiệt hại theo quy định của pháp luật.</w:t>
      </w:r>
    </w:p>
    <w:p w14:paraId="091EB0F0" w14:textId="77777777" w:rsidR="00C55D47" w:rsidRPr="004A15CF" w:rsidRDefault="00C55D47"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 Ngoài việc bị xử lý theo quy định tại khoản 1 Điều 90 </w:t>
      </w:r>
      <w:hyperlink r:id="rId6" w:tgtFrame="_blank" w:history="1">
        <w:r w:rsidRPr="004A15CF">
          <w:rPr>
            <w:rStyle w:val="Hyperlink"/>
            <w:rFonts w:ascii="Times New Roman" w:hAnsi="Times New Roman" w:cs="Times New Roman"/>
            <w:sz w:val="28"/>
            <w:szCs w:val="28"/>
          </w:rPr>
          <w:t>Luật Đấu thầu 2013</w:t>
        </w:r>
      </w:hyperlink>
      <w:r w:rsidRPr="004A15CF">
        <w:rPr>
          <w:rFonts w:ascii="Times New Roman" w:hAnsi="Times New Roman" w:cs="Times New Roman"/>
          <w:sz w:val="28"/>
          <w:szCs w:val="28"/>
        </w:rPr>
        <w:t>, tùy theo tính chất, mức độ vi phạm, tổ chức, cá nhân vi phạm pháp luật về đấu thầu còn bị cấm tham gia hoạt động đấu thầu và đưa vào danh sách các nhà thầu vi phạm trên hệ thống mạng đấu thầu quốc gia.</w:t>
      </w:r>
    </w:p>
    <w:p w14:paraId="79769318" w14:textId="77777777" w:rsidR="00C55D47" w:rsidRPr="004A15CF" w:rsidRDefault="00C55D47"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 Thẩm quyền cấm tham gia hoạt động đấu thầu được quy định như sau:</w:t>
      </w:r>
    </w:p>
    <w:p w14:paraId="54F5EA7E" w14:textId="77777777" w:rsidR="00C55D47" w:rsidRPr="004A15CF" w:rsidRDefault="00C55D47"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lastRenderedPageBreak/>
        <w:t>+ Người có thẩm quyền ban hành quyết định cấm tham gia hoạt động đấu thầu đối với các dự án, dự toán mua sắm trong phạm vi quản lý của mình;</w:t>
      </w:r>
    </w:p>
    <w:p w14:paraId="7931B777" w14:textId="77777777" w:rsidR="00C55D47" w:rsidRPr="004A15CF" w:rsidRDefault="00C55D47"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Trường hợp vi phạm nghiêm trọng thì đề nghị Bộ trưởng, Thủ trưởng cơ quan ngang bộ, Chủ tịch UBND tỉnh, thành phố trực thuộc trung ương ban hành quyết định cấm tham gia hoạt động đấu thầu trong phạm vi quản lý của bộ, ngành, địa phương hoặc đề nghị Bộ trưởng Bộ Kế hoạch và Đầu tư ban hành quyết định cấm tham gia hoạt động đấu thầu trên phạm vi cả nước;</w:t>
      </w:r>
    </w:p>
    <w:p w14:paraId="18C78743" w14:textId="77777777" w:rsidR="00C55D47" w:rsidRPr="004A15CF" w:rsidRDefault="00C55D47"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 Bộ trưởng, Thủ trưởng cơ quan ngang bộ, Chủ tịch UBND tỉnh, thành phố trực thuộc trung ương ban hành quyết định cấm tham gia hoạt động đấu thầu trong phạm vi quản lý của bộ, ngành, địa phương mình đối với những trường hợp do</w:t>
      </w:r>
    </w:p>
    <w:p w14:paraId="03584C51" w14:textId="27DB07D0" w:rsidR="00C55D47" w:rsidRPr="004A15CF" w:rsidRDefault="00C55D47"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người có thẩm quyền đề nghị theo quy định tại điểm a khoản 3 Điều 90 </w:t>
      </w:r>
      <w:hyperlink r:id="rId7" w:tgtFrame="_blank" w:history="1">
        <w:r w:rsidRPr="004A15CF">
          <w:rPr>
            <w:rStyle w:val="Hyperlink"/>
            <w:rFonts w:ascii="Times New Roman" w:hAnsi="Times New Roman" w:cs="Times New Roman"/>
            <w:sz w:val="28"/>
            <w:szCs w:val="28"/>
          </w:rPr>
          <w:t>Luật Đấu thầu 2013</w:t>
        </w:r>
      </w:hyperlink>
      <w:r w:rsidRPr="004A15CF">
        <w:rPr>
          <w:rFonts w:ascii="Times New Roman" w:hAnsi="Times New Roman" w:cs="Times New Roman"/>
          <w:sz w:val="28"/>
          <w:szCs w:val="28"/>
        </w:rPr>
        <w:t>;</w:t>
      </w:r>
    </w:p>
    <w:p w14:paraId="6D746B1B" w14:textId="77777777" w:rsidR="00C55D47" w:rsidRPr="004A15CF" w:rsidRDefault="00C55D47"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 Bộ trưởng Bộ Kế hoạch và Đầu tư ban hành quyết định cấm tham gia hoạt động đấu thầu trên phạm vi cả nước đối với những trường hợp do người có thẩm quyền đề nghị theo quy định tại điểm a khoản 3 Điều 90 </w:t>
      </w:r>
      <w:hyperlink r:id="rId8" w:tgtFrame="_blank" w:history="1">
        <w:r w:rsidRPr="004A15CF">
          <w:rPr>
            <w:rStyle w:val="Hyperlink"/>
            <w:rFonts w:ascii="Times New Roman" w:hAnsi="Times New Roman" w:cs="Times New Roman"/>
            <w:sz w:val="28"/>
            <w:szCs w:val="28"/>
          </w:rPr>
          <w:t>Luật Đấu thầu 2013</w:t>
        </w:r>
      </w:hyperlink>
      <w:r w:rsidRPr="004A15CF">
        <w:rPr>
          <w:rFonts w:ascii="Times New Roman" w:hAnsi="Times New Roman" w:cs="Times New Roman"/>
          <w:sz w:val="28"/>
          <w:szCs w:val="28"/>
        </w:rPr>
        <w:t>.</w:t>
      </w:r>
    </w:p>
    <w:p w14:paraId="263DE70B" w14:textId="77777777" w:rsidR="00C55D47" w:rsidRPr="004A15CF" w:rsidRDefault="00C55D47"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 Công khai xử lý vi phạm:</w:t>
      </w:r>
    </w:p>
    <w:p w14:paraId="2FD54AC4" w14:textId="77777777" w:rsidR="00C55D47" w:rsidRPr="004A15CF" w:rsidRDefault="00C55D47"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 Quyết định xử lý vi phạm phải được gửi cho tổ chức, cá nhân bị xử lý và các cơ quan, tổ chức liên quan, đồng thời phải được gửi đến Bộ Kế hoạch và Đầu tư để theo dõi, tổng hợp;</w:t>
      </w:r>
    </w:p>
    <w:p w14:paraId="45C31C35" w14:textId="57370A37" w:rsidR="0045250E" w:rsidRPr="004A15CF" w:rsidRDefault="00C55D47"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 Quyết định xử lý vi phạm phải được đăng tải trên Báo đấu thầu, hệ thống mạng đấu thầu quốc gia.</w:t>
      </w:r>
    </w:p>
    <w:p w14:paraId="5CCB2D0D" w14:textId="33B238BA" w:rsidR="0045250E" w:rsidRPr="004A15CF" w:rsidRDefault="00C55D47"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lastRenderedPageBreak/>
        <w:t>B.</w:t>
      </w:r>
      <w:r w:rsidR="0045250E" w:rsidRPr="004A15CF">
        <w:rPr>
          <w:rFonts w:ascii="Times New Roman" w:hAnsi="Times New Roman" w:cs="Times New Roman"/>
          <w:sz w:val="28"/>
          <w:szCs w:val="28"/>
        </w:rPr>
        <w:t>Thực trạng một số tồn tại, hạn chế trong công tác đấu thầu ở Việt Nam hiện nay</w:t>
      </w:r>
    </w:p>
    <w:p w14:paraId="568BE451" w14:textId="110BDDAF" w:rsidR="003E6D4E" w:rsidRPr="004A15CF" w:rsidRDefault="003E6D4E" w:rsidP="004A15CF">
      <w:pPr>
        <w:spacing w:after="100" w:afterAutospacing="1" w:line="360" w:lineRule="auto"/>
        <w:ind w:firstLine="567"/>
        <w:rPr>
          <w:rFonts w:ascii="Times New Roman" w:hAnsi="Times New Roman" w:cs="Times New Roman"/>
          <w:sz w:val="28"/>
          <w:szCs w:val="28"/>
        </w:rPr>
      </w:pPr>
      <w:r w:rsidRPr="004A15CF">
        <w:rPr>
          <w:rFonts w:ascii="Times New Roman" w:hAnsi="Times New Roman" w:cs="Times New Roman"/>
          <w:sz w:val="28"/>
          <w:szCs w:val="28"/>
        </w:rPr>
        <w:t>Đấu thầu ở Việt Nam đã cơ bản đem lại được hiệu quả cao, có vai trò quan trọng với nền kinh tế nhưng bên cạnh đó còn xuất hiện một số tồn tại, hạn chế:</w:t>
      </w:r>
    </w:p>
    <w:p w14:paraId="414F04E4" w14:textId="72EE253D" w:rsidR="003E6D4E" w:rsidRPr="004A15CF" w:rsidRDefault="003E6D4E" w:rsidP="004A15CF">
      <w:pPr>
        <w:spacing w:after="100" w:afterAutospacing="1" w:line="360" w:lineRule="auto"/>
        <w:ind w:left="360" w:firstLine="567"/>
        <w:rPr>
          <w:rFonts w:ascii="Times New Roman" w:hAnsi="Times New Roman" w:cs="Times New Roman"/>
          <w:sz w:val="28"/>
          <w:szCs w:val="28"/>
        </w:rPr>
      </w:pPr>
      <w:r w:rsidRPr="004A15CF">
        <w:rPr>
          <w:rFonts w:ascii="Times New Roman" w:hAnsi="Times New Roman" w:cs="Times New Roman"/>
          <w:sz w:val="28"/>
          <w:szCs w:val="28"/>
        </w:rPr>
        <w:t>Về xây dựng các cơ chế, chính sách pháp luật về đấu thầu: Một số quy định chưa đồng bộ, thống nhất giữa Luật Đấu thầu và các luật chuyên ngành mặc dù đã tồn tại nhiều năm và được Bộ Kế hoạch và Đầu tư phản ánh tại báo cáo công tác đấu thầu trình Chính phủ, tuy nhiên, vẫn chưa được giải quyết triệt để, ảnh hưởng đến cả chủ đầu tư, bên mời thầu và nhà thầu trong quá trình thực hiện.</w:t>
      </w:r>
    </w:p>
    <w:p w14:paraId="1071D70B" w14:textId="7FFB9E20" w:rsidR="003E6D4E" w:rsidRPr="004A15CF" w:rsidRDefault="003E6D4E" w:rsidP="004A15CF">
      <w:pPr>
        <w:spacing w:after="100" w:afterAutospacing="1" w:line="360" w:lineRule="auto"/>
        <w:ind w:left="360" w:firstLine="567"/>
        <w:rPr>
          <w:rFonts w:ascii="Times New Roman" w:hAnsi="Times New Roman" w:cs="Times New Roman"/>
          <w:sz w:val="28"/>
          <w:szCs w:val="28"/>
        </w:rPr>
      </w:pPr>
      <w:r w:rsidRPr="004A15CF">
        <w:rPr>
          <w:rFonts w:ascii="Times New Roman" w:hAnsi="Times New Roman" w:cs="Times New Roman"/>
          <w:sz w:val="28"/>
          <w:szCs w:val="28"/>
        </w:rPr>
        <w:t>Về công tác lựa chọn nhà thầu: Theo Bộ Kế hoạch và Đầu tư (2021), trong năm 2020, công tác lựa chọn nhà thầu vẫn còn gặp những khó khăn, hạn chế sau:</w:t>
      </w:r>
    </w:p>
    <w:p w14:paraId="71069C57" w14:textId="7D2B44CE" w:rsidR="003E6D4E" w:rsidRPr="004A15CF" w:rsidRDefault="003E6D4E" w:rsidP="004A15CF">
      <w:pPr>
        <w:spacing w:after="100" w:afterAutospacing="1" w:line="360" w:lineRule="auto"/>
        <w:ind w:left="360" w:firstLine="567"/>
        <w:rPr>
          <w:rFonts w:ascii="Times New Roman" w:hAnsi="Times New Roman" w:cs="Times New Roman"/>
          <w:sz w:val="28"/>
          <w:szCs w:val="28"/>
        </w:rPr>
      </w:pPr>
      <w:r w:rsidRPr="004A15CF">
        <w:rPr>
          <w:rFonts w:ascii="Times New Roman" w:hAnsi="Times New Roman" w:cs="Times New Roman"/>
          <w:sz w:val="28"/>
          <w:szCs w:val="28"/>
        </w:rPr>
        <w:t>- Chỉ định thầu có tỷ lệ tiết kiệm vẫn ở mức rất thấp, chỉ đạt 2,15%. Trong khi đó, đấu thầu rộng rãi là hình thức có tính cạnh tranh nhất, nhưng tỷ lệ tiết kiệm vẫn chưa thực sự cao (5,19%).</w:t>
      </w:r>
    </w:p>
    <w:p w14:paraId="507104B1" w14:textId="6A809FAA" w:rsidR="003E6D4E" w:rsidRPr="004A15CF" w:rsidRDefault="003E6D4E" w:rsidP="004A15CF">
      <w:pPr>
        <w:spacing w:after="100" w:afterAutospacing="1" w:line="360" w:lineRule="auto"/>
        <w:ind w:left="360" w:firstLine="567"/>
        <w:rPr>
          <w:rFonts w:ascii="Times New Roman" w:hAnsi="Times New Roman" w:cs="Times New Roman"/>
          <w:sz w:val="28"/>
          <w:szCs w:val="28"/>
        </w:rPr>
      </w:pPr>
      <w:r w:rsidRPr="004A15CF">
        <w:rPr>
          <w:rFonts w:ascii="Times New Roman" w:hAnsi="Times New Roman" w:cs="Times New Roman"/>
          <w:sz w:val="28"/>
          <w:szCs w:val="28"/>
        </w:rPr>
        <w:t>- Hiệu quả công tác đấu thầu còn chênh lệch giữa các địa phương, đơn vị. Tỷ lệ tiết kiệm ở các địa phương còn thấp, đạt 4,64% (các tập đoàn kinh tế nhà nước, tổng công ty nhà nước là 9,81%, các bộ là 5,14%).</w:t>
      </w:r>
    </w:p>
    <w:p w14:paraId="62875741" w14:textId="77777777" w:rsidR="003E6D4E" w:rsidRPr="004A15CF" w:rsidRDefault="003E6D4E" w:rsidP="004A15CF">
      <w:pPr>
        <w:spacing w:after="100" w:afterAutospacing="1" w:line="360" w:lineRule="auto"/>
        <w:ind w:left="360" w:firstLine="567"/>
        <w:rPr>
          <w:rFonts w:ascii="Times New Roman" w:hAnsi="Times New Roman" w:cs="Times New Roman"/>
          <w:sz w:val="28"/>
          <w:szCs w:val="28"/>
        </w:rPr>
      </w:pPr>
      <w:r w:rsidRPr="004A15CF">
        <w:rPr>
          <w:rFonts w:ascii="Times New Roman" w:hAnsi="Times New Roman" w:cs="Times New Roman"/>
          <w:sz w:val="28"/>
          <w:szCs w:val="28"/>
        </w:rPr>
        <w:t>- Lĩnh vực xây lắp là lĩnh vực có tổng giá gói thầu và giá trúng thầu chiếm tỷ lệ lớn (64,37% và 65,44%), nhưng tỷ lệ tiết kiệm chưa cao chỉ đạt 3,28%.</w:t>
      </w:r>
    </w:p>
    <w:p w14:paraId="6E2CB361" w14:textId="04F4A2F1" w:rsidR="003E6D4E" w:rsidRPr="004A15CF" w:rsidRDefault="003E6D4E" w:rsidP="004A15CF">
      <w:pPr>
        <w:spacing w:after="100" w:afterAutospacing="1" w:line="360" w:lineRule="auto"/>
        <w:ind w:left="360" w:firstLine="567"/>
        <w:rPr>
          <w:rFonts w:ascii="Times New Roman" w:hAnsi="Times New Roman" w:cs="Times New Roman"/>
          <w:sz w:val="28"/>
          <w:szCs w:val="28"/>
        </w:rPr>
      </w:pPr>
      <w:r w:rsidRPr="004A15CF">
        <w:rPr>
          <w:rFonts w:ascii="Times New Roman" w:hAnsi="Times New Roman" w:cs="Times New Roman"/>
          <w:sz w:val="28"/>
          <w:szCs w:val="28"/>
        </w:rPr>
        <w:lastRenderedPageBreak/>
        <w:t>- Mua sắm tập trung được triển khai mạnh mẽ, nhưng tỷ lệ tiết kiệm không đồng đều, có những đơn vị có tỷ lệ tiết kiệm rất thấp, như: TP. Hải Phòng là 0%, tỉnh Điện Biên là 0,06%; tỉnh Đồng Tháp là 0,17%; Bộ Tư pháp là 0,18%...</w:t>
      </w:r>
    </w:p>
    <w:p w14:paraId="381BBC43" w14:textId="583FECA9" w:rsidR="00F451E1" w:rsidRPr="004A15CF" w:rsidRDefault="00F451E1" w:rsidP="004A15CF">
      <w:pPr>
        <w:spacing w:after="100" w:afterAutospacing="1" w:line="360" w:lineRule="auto"/>
        <w:ind w:left="357" w:firstLine="567"/>
        <w:rPr>
          <w:rFonts w:ascii="Times New Roman" w:hAnsi="Times New Roman" w:cs="Times New Roman"/>
          <w:sz w:val="28"/>
          <w:szCs w:val="28"/>
          <w:lang w:val="vi-VN"/>
        </w:rPr>
      </w:pPr>
      <w:r w:rsidRPr="004A15CF">
        <w:rPr>
          <w:rFonts w:ascii="Times New Roman" w:hAnsi="Times New Roman" w:cs="Times New Roman"/>
          <w:sz w:val="28"/>
          <w:szCs w:val="28"/>
          <w:lang w:val="vi-VN"/>
        </w:rPr>
        <w:t>- Hiện nay khâu thẩm định, trong đó có thẩm định giá và thẩm định năng lực của nhà thầu còn rất nhiều bất cập. Pháp luật đã trao quyền cho doanh nghiệp có chức năng thẩm định quá lớn, trong khi đó lại không có quy định nào về hậu kiểm kết quả thẩm định.  Hình thức “chỉ định thầu” đã bị lợi dụng triệt để trong các gói thầu hàng hóa, do thủ tục lựa chọn nhà thầu đơn giản, thời gian thực hiện ngắn nên đây là hình thức được áp dụng tương đối phổ biến, từ đó sinh ra rất nhiều tiêu cực trong quá trình lựa chọn nhà thầu.</w:t>
      </w:r>
    </w:p>
    <w:p w14:paraId="17470126" w14:textId="20E18C0F" w:rsidR="003E6D4E" w:rsidRPr="004A15CF" w:rsidRDefault="003E6D4E" w:rsidP="004A15CF">
      <w:pPr>
        <w:spacing w:after="100" w:afterAutospacing="1" w:line="360" w:lineRule="auto"/>
        <w:ind w:left="360" w:firstLine="567"/>
        <w:rPr>
          <w:rFonts w:ascii="Times New Roman" w:hAnsi="Times New Roman" w:cs="Times New Roman"/>
          <w:sz w:val="28"/>
          <w:szCs w:val="28"/>
        </w:rPr>
      </w:pPr>
      <w:r w:rsidRPr="004A15CF">
        <w:rPr>
          <w:rFonts w:ascii="Times New Roman" w:hAnsi="Times New Roman" w:cs="Times New Roman"/>
          <w:sz w:val="28"/>
          <w:szCs w:val="28"/>
        </w:rPr>
        <w:t>Về thực hiện, triển khai công tác đấu thầu: Công tác đấu thầu ở nước ta là một trong những khâu phát sinh nhiều tiêu cực, có lúc có nơi chỉ mang tính hình thức, ẩn chứa những điều mờ ám, thiếu minh bạch và công bằng. Từ năm 2013 đến nay, cơ quan quản lý đã điều tra khởi tố 11.700 vụ án tham nhũng chức vụ kinh tế, trong đó có 1.900 vụ án tham nhũng với 4.400 bị cáo, phần lớn liên quan đến các sai phạm về đấu thầu, mua sắm xây dựng, đầu tư công (Ban Thời sự, 2021). Có điểm chung về các sai phạm đó là cơ quan quản lý thông đồng với đơn vị thẩm định giá. Các vi phạm về đấu thầu diễn ra trong rất nhiều ngành khác nhau: xây dựng cơ sở hạ tầng, y tế, giáo dục... Đặc biệt gần đây là vụ vi phạm trong việc sản xuất, kinh doanh Bộ trang thiết bị y tế chẩn đoán In Vitro xét nghiệm virus SARS-CoV-2 (gọi tắt là Kit xét nghiệm Covid-19) xảy ra tại Công ty Cổ phần Công nghệ Việt Á.</w:t>
      </w:r>
    </w:p>
    <w:p w14:paraId="0F443FA5" w14:textId="1A03DA7C" w:rsidR="003E6D4E" w:rsidRPr="004A15CF" w:rsidRDefault="003E6D4E" w:rsidP="004A15CF">
      <w:pPr>
        <w:spacing w:after="100" w:afterAutospacing="1" w:line="360" w:lineRule="auto"/>
        <w:ind w:left="360" w:firstLine="567"/>
        <w:rPr>
          <w:rFonts w:ascii="Times New Roman" w:hAnsi="Times New Roman" w:cs="Times New Roman"/>
          <w:sz w:val="28"/>
          <w:szCs w:val="28"/>
          <w:lang w:val="vi-VN"/>
        </w:rPr>
      </w:pPr>
      <w:r w:rsidRPr="004A15CF">
        <w:rPr>
          <w:rFonts w:ascii="Times New Roman" w:hAnsi="Times New Roman" w:cs="Times New Roman"/>
          <w:sz w:val="28"/>
          <w:szCs w:val="28"/>
        </w:rPr>
        <w:t xml:space="preserve">Các vi phạm trong công tác đấu thầu đã gây ra nhiều hệ lụy, như: (i) Phá vỡ kế hoạch thực hiện chi tiêu công, mua sắm công và đầu tư công, không những làm cho các dự án bị chậm tiến độ, mà còn gây thất thoát lãng phí nguồn </w:t>
      </w:r>
      <w:r w:rsidRPr="004A15CF">
        <w:rPr>
          <w:rFonts w:ascii="Times New Roman" w:hAnsi="Times New Roman" w:cs="Times New Roman"/>
          <w:sz w:val="28"/>
          <w:szCs w:val="28"/>
        </w:rPr>
        <w:lastRenderedPageBreak/>
        <w:t>lực của đất nước; (ii) Làm trật tự quản lý nhà nước bị xáo trộn; (iii) Uy tín của cơ quan nhà nước bị giảm sút trong con mắt của nhân dân; (iv) Làm mất đi nguồn lực cán bộ do những người này vi phạm Luật Đấu thầu.</w:t>
      </w:r>
    </w:p>
    <w:p w14:paraId="06821E4E" w14:textId="77777777" w:rsidR="003E6D4E" w:rsidRPr="004A15CF" w:rsidRDefault="003E6D4E" w:rsidP="004A15CF">
      <w:pPr>
        <w:spacing w:after="100" w:afterAutospacing="1" w:line="360" w:lineRule="auto"/>
        <w:ind w:firstLine="567"/>
        <w:rPr>
          <w:rFonts w:ascii="Times New Roman" w:hAnsi="Times New Roman" w:cs="Times New Roman"/>
          <w:sz w:val="28"/>
          <w:szCs w:val="28"/>
        </w:rPr>
      </w:pPr>
    </w:p>
    <w:p w14:paraId="2DD3698A" w14:textId="77777777" w:rsidR="0045250E" w:rsidRPr="004A15CF" w:rsidRDefault="0045250E" w:rsidP="004A15CF">
      <w:pPr>
        <w:spacing w:after="100" w:afterAutospacing="1" w:line="360" w:lineRule="auto"/>
        <w:ind w:firstLine="567"/>
        <w:rPr>
          <w:rFonts w:ascii="Times New Roman" w:hAnsi="Times New Roman" w:cs="Times New Roman"/>
          <w:sz w:val="28"/>
          <w:szCs w:val="28"/>
        </w:rPr>
      </w:pPr>
    </w:p>
    <w:p w14:paraId="519C66FF" w14:textId="78282D4F" w:rsidR="0045250E" w:rsidRPr="004A15CF" w:rsidRDefault="0045250E" w:rsidP="004A15CF">
      <w:pPr>
        <w:spacing w:after="100" w:afterAutospacing="1" w:line="360" w:lineRule="auto"/>
        <w:ind w:firstLine="567"/>
        <w:rPr>
          <w:rFonts w:ascii="Times New Roman" w:hAnsi="Times New Roman" w:cs="Times New Roman"/>
          <w:sz w:val="28"/>
          <w:szCs w:val="28"/>
        </w:rPr>
      </w:pPr>
    </w:p>
    <w:p w14:paraId="385F2663" w14:textId="35507304" w:rsidR="0045250E" w:rsidRPr="004A15CF" w:rsidRDefault="0045250E" w:rsidP="004A15CF">
      <w:pPr>
        <w:spacing w:after="100" w:afterAutospacing="1" w:line="360" w:lineRule="auto"/>
        <w:ind w:firstLine="567"/>
        <w:rPr>
          <w:rFonts w:ascii="Times New Roman" w:hAnsi="Times New Roman" w:cs="Times New Roman"/>
          <w:sz w:val="28"/>
          <w:szCs w:val="28"/>
        </w:rPr>
      </w:pPr>
    </w:p>
    <w:p w14:paraId="6A592C21" w14:textId="79FED95B" w:rsidR="0045250E" w:rsidRPr="004A15CF" w:rsidRDefault="0045250E" w:rsidP="004A15CF">
      <w:pPr>
        <w:spacing w:after="100" w:afterAutospacing="1" w:line="360" w:lineRule="auto"/>
        <w:ind w:firstLine="567"/>
        <w:rPr>
          <w:rFonts w:ascii="Times New Roman" w:hAnsi="Times New Roman" w:cs="Times New Roman"/>
          <w:sz w:val="28"/>
          <w:szCs w:val="28"/>
        </w:rPr>
      </w:pPr>
    </w:p>
    <w:p w14:paraId="40E5836D" w14:textId="3FEFC0BE" w:rsidR="0045250E" w:rsidRPr="004A15CF" w:rsidRDefault="0045250E" w:rsidP="004A15CF">
      <w:pPr>
        <w:spacing w:after="100" w:afterAutospacing="1" w:line="360" w:lineRule="auto"/>
        <w:ind w:firstLine="567"/>
        <w:rPr>
          <w:rFonts w:ascii="Times New Roman" w:hAnsi="Times New Roman" w:cs="Times New Roman"/>
          <w:sz w:val="28"/>
          <w:szCs w:val="28"/>
        </w:rPr>
      </w:pPr>
    </w:p>
    <w:p w14:paraId="6BC21230" w14:textId="0F409B20" w:rsidR="0045250E" w:rsidRPr="004A15CF" w:rsidRDefault="0045250E" w:rsidP="004A15CF">
      <w:pPr>
        <w:spacing w:after="100" w:afterAutospacing="1" w:line="360" w:lineRule="auto"/>
        <w:ind w:firstLine="567"/>
        <w:rPr>
          <w:rFonts w:ascii="Times New Roman" w:hAnsi="Times New Roman" w:cs="Times New Roman"/>
          <w:sz w:val="28"/>
          <w:szCs w:val="28"/>
        </w:rPr>
      </w:pPr>
    </w:p>
    <w:p w14:paraId="3C8BCC74" w14:textId="5A2F4FF6" w:rsidR="0045250E" w:rsidRPr="004A15CF" w:rsidRDefault="0045250E" w:rsidP="004A15CF">
      <w:pPr>
        <w:spacing w:after="100" w:afterAutospacing="1" w:line="360" w:lineRule="auto"/>
        <w:ind w:firstLine="567"/>
        <w:rPr>
          <w:rFonts w:ascii="Times New Roman" w:hAnsi="Times New Roman" w:cs="Times New Roman"/>
          <w:sz w:val="28"/>
          <w:szCs w:val="28"/>
        </w:rPr>
      </w:pPr>
    </w:p>
    <w:p w14:paraId="0E5E05CD" w14:textId="77BA266C" w:rsidR="0045250E" w:rsidRPr="004A15CF" w:rsidRDefault="0045250E" w:rsidP="004A15CF">
      <w:pPr>
        <w:spacing w:after="100" w:afterAutospacing="1" w:line="360" w:lineRule="auto"/>
        <w:rPr>
          <w:rFonts w:ascii="Times New Roman" w:hAnsi="Times New Roman" w:cs="Times New Roman"/>
          <w:sz w:val="28"/>
          <w:szCs w:val="28"/>
        </w:rPr>
      </w:pPr>
    </w:p>
    <w:sectPr w:rsidR="0045250E" w:rsidRPr="004A15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B4F19"/>
    <w:multiLevelType w:val="hybridMultilevel"/>
    <w:tmpl w:val="83B092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D06F3B"/>
    <w:multiLevelType w:val="hybridMultilevel"/>
    <w:tmpl w:val="4E92AF80"/>
    <w:lvl w:ilvl="0" w:tplc="D16CB3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D90E99"/>
    <w:multiLevelType w:val="hybridMultilevel"/>
    <w:tmpl w:val="06B6AEB2"/>
    <w:lvl w:ilvl="0" w:tplc="411098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0A09FE"/>
    <w:multiLevelType w:val="hybridMultilevel"/>
    <w:tmpl w:val="DA7A3890"/>
    <w:lvl w:ilvl="0" w:tplc="2C8412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3E2DFE"/>
    <w:multiLevelType w:val="hybridMultilevel"/>
    <w:tmpl w:val="412A74C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35A31FC"/>
    <w:multiLevelType w:val="hybridMultilevel"/>
    <w:tmpl w:val="CC126648"/>
    <w:lvl w:ilvl="0" w:tplc="B6FEA9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CA4A76"/>
    <w:multiLevelType w:val="hybridMultilevel"/>
    <w:tmpl w:val="C298E176"/>
    <w:lvl w:ilvl="0" w:tplc="CCE048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BA09BC"/>
    <w:multiLevelType w:val="hybridMultilevel"/>
    <w:tmpl w:val="AA54D59C"/>
    <w:lvl w:ilvl="0" w:tplc="4BFEB1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A343CB"/>
    <w:multiLevelType w:val="hybridMultilevel"/>
    <w:tmpl w:val="04A0C178"/>
    <w:lvl w:ilvl="0" w:tplc="134A7C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FB5E53"/>
    <w:multiLevelType w:val="hybridMultilevel"/>
    <w:tmpl w:val="87403BE4"/>
    <w:lvl w:ilvl="0" w:tplc="2402CA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DC6C52"/>
    <w:multiLevelType w:val="hybridMultilevel"/>
    <w:tmpl w:val="C3B0C3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2"/>
  </w:num>
  <w:num w:numId="4">
    <w:abstractNumId w:val="10"/>
  </w:num>
  <w:num w:numId="5">
    <w:abstractNumId w:val="8"/>
  </w:num>
  <w:num w:numId="6">
    <w:abstractNumId w:val="7"/>
  </w:num>
  <w:num w:numId="7">
    <w:abstractNumId w:val="5"/>
  </w:num>
  <w:num w:numId="8">
    <w:abstractNumId w:val="6"/>
  </w:num>
  <w:num w:numId="9">
    <w:abstractNumId w:val="4"/>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31D"/>
    <w:rsid w:val="00050A83"/>
    <w:rsid w:val="0029148F"/>
    <w:rsid w:val="003E6D4E"/>
    <w:rsid w:val="0045250E"/>
    <w:rsid w:val="004A15CF"/>
    <w:rsid w:val="00BE031D"/>
    <w:rsid w:val="00C55D47"/>
    <w:rsid w:val="00F45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3EFC8"/>
  <w15:chartTrackingRefBased/>
  <w15:docId w15:val="{37CE682E-4ED6-4CE3-8C75-4A7739B5E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031D"/>
    <w:pPr>
      <w:ind w:left="720"/>
      <w:contextualSpacing/>
    </w:pPr>
  </w:style>
  <w:style w:type="character" w:styleId="Hyperlink">
    <w:name w:val="Hyperlink"/>
    <w:basedOn w:val="DefaultParagraphFont"/>
    <w:uiPriority w:val="99"/>
    <w:unhideWhenUsed/>
    <w:rsid w:val="00C55D47"/>
    <w:rPr>
      <w:color w:val="0563C1" w:themeColor="hyperlink"/>
      <w:u w:val="single"/>
    </w:rPr>
  </w:style>
  <w:style w:type="character" w:customStyle="1" w:styleId="UnresolvedMention">
    <w:name w:val="Unresolved Mention"/>
    <w:basedOn w:val="DefaultParagraphFont"/>
    <w:uiPriority w:val="99"/>
    <w:semiHidden/>
    <w:unhideWhenUsed/>
    <w:rsid w:val="00C55D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au-tu/Luat-dau-thau-2013-215838.aspx" TargetMode="External"/><Relationship Id="rId3" Type="http://schemas.openxmlformats.org/officeDocument/2006/relationships/settings" Target="settings.xml"/><Relationship Id="rId7" Type="http://schemas.openxmlformats.org/officeDocument/2006/relationships/hyperlink" Target="https://thuvienphapluat.vn/van-ban/Dau-tu/Luat-dau-thau-2013-215838.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van-ban/Dau-tu/Luat-dau-thau-2013-215838.aspx" TargetMode="External"/><Relationship Id="rId5" Type="http://schemas.openxmlformats.org/officeDocument/2006/relationships/hyperlink" Target="https://thuvienphapluat.vn/van-ban/Dau-tu/Luat-dau-thau-2013-215838.aspx"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9</Pages>
  <Words>1785</Words>
  <Characters>10179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Giang Huy</dc:creator>
  <cp:keywords/>
  <dc:description/>
  <cp:lastModifiedBy>ADMIN</cp:lastModifiedBy>
  <cp:revision>3</cp:revision>
  <dcterms:created xsi:type="dcterms:W3CDTF">2023-02-05T07:45:00Z</dcterms:created>
  <dcterms:modified xsi:type="dcterms:W3CDTF">2023-02-08T17:24:00Z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2023-02-05T08:28:29Z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706c83f5-003f-4f9a-abf7-08f87c508d62</vt:lpwstr>
  </property>
  <property fmtid="{D5CDD505-2E9C-101B-9397-08002B2CF9AE}" pid="7" name="MSIP_Label_defa4170-0d19-0005-0004-bc88714345d2_ActionId">
    <vt:lpwstr>00633699-1aac-4469-b4b5-477a522cd36c</vt:lpwstr>
  </property>
  <property fmtid="{D5CDD505-2E9C-101B-9397-08002B2CF9AE}" pid="8" name="MSIP_Label_defa4170-0d19-0005-0004-bc88714345d2_ContentBits">
    <vt:lpwstr>0</vt:lpwstr>
  </property>
</Properties>
</file>